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6B9F4F3C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992BAA" w:rsidRPr="009B3CE8">
        <w:rPr>
          <w:sz w:val="26"/>
          <w:szCs w:val="26"/>
        </w:rPr>
        <w:t xml:space="preserve">October </w:t>
      </w:r>
      <w:r w:rsidR="009B3CE8">
        <w:rPr>
          <w:sz w:val="26"/>
          <w:szCs w:val="26"/>
        </w:rPr>
        <w:t>22</w:t>
      </w:r>
      <w:r w:rsidR="00992BAA" w:rsidRPr="009B3CE8">
        <w:rPr>
          <w:sz w:val="26"/>
          <w:szCs w:val="26"/>
        </w:rPr>
        <w:t>, 2021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851"/>
        <w:gridCol w:w="2072"/>
        <w:gridCol w:w="1081"/>
        <w:gridCol w:w="3964"/>
        <w:gridCol w:w="1710"/>
        <w:gridCol w:w="1976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045025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38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09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704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045025">
        <w:tc>
          <w:tcPr>
            <w:tcW w:w="417" w:type="pct"/>
          </w:tcPr>
          <w:p w14:paraId="177669FE" w14:textId="48920875" w:rsidR="00325F7F" w:rsidRDefault="00B92945" w:rsidP="00B8393C">
            <w:r>
              <w:t>10-8-21</w:t>
            </w:r>
          </w:p>
        </w:tc>
        <w:tc>
          <w:tcPr>
            <w:tcW w:w="432" w:type="pct"/>
          </w:tcPr>
          <w:p w14:paraId="34CCF94F" w14:textId="270C132C" w:rsidR="00325F7F" w:rsidRDefault="00B92945" w:rsidP="00DA173D">
            <w:r>
              <w:t>Jennifer</w:t>
            </w:r>
          </w:p>
        </w:tc>
        <w:tc>
          <w:tcPr>
            <w:tcW w:w="2838" w:type="pct"/>
            <w:gridSpan w:val="4"/>
          </w:tcPr>
          <w:p w14:paraId="368522D7" w14:textId="7652853E" w:rsidR="00B92945" w:rsidRDefault="00B92945" w:rsidP="00CA0558">
            <w:r>
              <w:t xml:space="preserve">ARC Information for Associate Faculty Members </w:t>
            </w:r>
          </w:p>
        </w:tc>
        <w:tc>
          <w:tcPr>
            <w:tcW w:w="609" w:type="pct"/>
          </w:tcPr>
          <w:p w14:paraId="2C967576" w14:textId="4D31798F" w:rsidR="00325F7F" w:rsidRDefault="00B92945" w:rsidP="00DA173D">
            <w:r>
              <w:t>Leslie</w:t>
            </w:r>
          </w:p>
        </w:tc>
        <w:tc>
          <w:tcPr>
            <w:tcW w:w="704" w:type="pct"/>
          </w:tcPr>
          <w:p w14:paraId="2325042A" w14:textId="163EC8FC" w:rsidR="00325F7F" w:rsidRPr="003B705C" w:rsidRDefault="00325F7F" w:rsidP="00DA173D"/>
        </w:tc>
      </w:tr>
      <w:tr w:rsidR="00B92945" w:rsidRPr="003B705C" w14:paraId="56288439" w14:textId="77777777" w:rsidTr="00045025">
        <w:tc>
          <w:tcPr>
            <w:tcW w:w="417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32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838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09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704" w:type="pct"/>
          </w:tcPr>
          <w:p w14:paraId="293E4D4E" w14:textId="77777777" w:rsidR="00B92945" w:rsidRPr="003B705C" w:rsidRDefault="00B92945" w:rsidP="00DA173D"/>
        </w:tc>
      </w:tr>
      <w:tr w:rsidR="00CA0558" w:rsidRPr="003B705C" w14:paraId="141C397D" w14:textId="77777777" w:rsidTr="00045025">
        <w:tc>
          <w:tcPr>
            <w:tcW w:w="417" w:type="pct"/>
          </w:tcPr>
          <w:p w14:paraId="791B7964" w14:textId="7681A405" w:rsidR="00CA0558" w:rsidRDefault="00B92945" w:rsidP="00DA173D">
            <w:r>
              <w:t>10-8-21</w:t>
            </w:r>
          </w:p>
        </w:tc>
        <w:tc>
          <w:tcPr>
            <w:tcW w:w="432" w:type="pct"/>
          </w:tcPr>
          <w:p w14:paraId="2E0CEB8A" w14:textId="409546A4" w:rsidR="00CA0558" w:rsidRDefault="00B92945" w:rsidP="00DA173D">
            <w:r>
              <w:t>Beth</w:t>
            </w:r>
          </w:p>
        </w:tc>
        <w:tc>
          <w:tcPr>
            <w:tcW w:w="2838" w:type="pct"/>
            <w:gridSpan w:val="4"/>
          </w:tcPr>
          <w:p w14:paraId="40B4CA80" w14:textId="0CBD2C1E" w:rsidR="00CA0558" w:rsidRDefault="00045025" w:rsidP="006B1581">
            <w:r>
              <w:t xml:space="preserve">Link </w:t>
            </w:r>
            <w:r w:rsidR="00B92945">
              <w:t xml:space="preserve">to the Institutional </w:t>
            </w:r>
            <w:r w:rsidR="00B92945" w:rsidRPr="00B92945">
              <w:t>and Student Services Policies and Procedures</w:t>
            </w:r>
            <w:r>
              <w:t xml:space="preserve"> site.</w:t>
            </w:r>
          </w:p>
        </w:tc>
        <w:tc>
          <w:tcPr>
            <w:tcW w:w="609" w:type="pct"/>
          </w:tcPr>
          <w:p w14:paraId="72C96145" w14:textId="747093DD" w:rsidR="00CA0558" w:rsidRDefault="00B92945" w:rsidP="00DA173D">
            <w:r>
              <w:t>ISP Committee</w:t>
            </w:r>
          </w:p>
        </w:tc>
        <w:tc>
          <w:tcPr>
            <w:tcW w:w="704" w:type="pct"/>
          </w:tcPr>
          <w:p w14:paraId="32A58CED" w14:textId="4E0F15F3" w:rsidR="00CA0558" w:rsidRDefault="00045025" w:rsidP="00DA173D">
            <w:r>
              <w:t>October 18, 2021</w:t>
            </w:r>
          </w:p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2F7108">
        <w:trPr>
          <w:trHeight w:val="602"/>
        </w:trPr>
        <w:tc>
          <w:tcPr>
            <w:tcW w:w="1152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738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85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5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2F7108">
        <w:trPr>
          <w:trHeight w:val="910"/>
        </w:trPr>
        <w:tc>
          <w:tcPr>
            <w:tcW w:w="1152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738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85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5" w:type="pct"/>
            <w:gridSpan w:val="3"/>
          </w:tcPr>
          <w:p w14:paraId="41A70738" w14:textId="7FD569B8" w:rsidR="00EB5264" w:rsidRPr="00045025" w:rsidRDefault="00045025" w:rsidP="00CA2171">
            <w:pPr>
              <w:ind w:left="166"/>
            </w:pPr>
            <w:r w:rsidRPr="00045025">
              <w:t>Reminder for Sue: Record Meeting, Turn on Live Transcript</w:t>
            </w:r>
            <w:r>
              <w:t>, Share Land Acknowledgement</w:t>
            </w:r>
          </w:p>
        </w:tc>
      </w:tr>
      <w:tr w:rsidR="002F7108" w14:paraId="221CE735" w14:textId="77777777" w:rsidTr="002F7108">
        <w:trPr>
          <w:trHeight w:val="910"/>
        </w:trPr>
        <w:tc>
          <w:tcPr>
            <w:tcW w:w="1152" w:type="pct"/>
            <w:gridSpan w:val="3"/>
          </w:tcPr>
          <w:p w14:paraId="39AEDB2D" w14:textId="69D08BAC" w:rsidR="002F7108" w:rsidRDefault="002F7108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Review Commitments</w:t>
            </w:r>
          </w:p>
        </w:tc>
        <w:tc>
          <w:tcPr>
            <w:tcW w:w="738" w:type="pct"/>
          </w:tcPr>
          <w:p w14:paraId="041B1E33" w14:textId="1A1423D6" w:rsidR="002F7108" w:rsidRDefault="002F7108" w:rsidP="00CA2171">
            <w:pPr>
              <w:spacing w:before="120" w:after="120"/>
              <w:ind w:left="16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</w:t>
            </w:r>
          </w:p>
        </w:tc>
        <w:tc>
          <w:tcPr>
            <w:tcW w:w="385" w:type="pct"/>
          </w:tcPr>
          <w:p w14:paraId="1F623DA1" w14:textId="71B30891" w:rsidR="002F7108" w:rsidRDefault="002F7108" w:rsidP="00CA2171">
            <w:pPr>
              <w:spacing w:before="120" w:after="120"/>
              <w:contextualSpacing/>
            </w:pPr>
            <w:r>
              <w:t>5 min</w:t>
            </w:r>
          </w:p>
        </w:tc>
        <w:tc>
          <w:tcPr>
            <w:tcW w:w="2725" w:type="pct"/>
            <w:gridSpan w:val="3"/>
          </w:tcPr>
          <w:p w14:paraId="16E31EAF" w14:textId="77777777" w:rsidR="002F7108" w:rsidRPr="00524E7E" w:rsidRDefault="002F7108" w:rsidP="00CA2171">
            <w:pPr>
              <w:ind w:left="166"/>
            </w:pPr>
          </w:p>
        </w:tc>
      </w:tr>
      <w:tr w:rsidR="00EB5264" w14:paraId="101ACE58" w14:textId="77777777" w:rsidTr="002F7108">
        <w:trPr>
          <w:trHeight w:val="910"/>
        </w:trPr>
        <w:tc>
          <w:tcPr>
            <w:tcW w:w="1152" w:type="pct"/>
            <w:gridSpan w:val="3"/>
          </w:tcPr>
          <w:p w14:paraId="1D13EA04" w14:textId="0146EC5D" w:rsidR="00EB5264" w:rsidRPr="00651A4C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738" w:type="pct"/>
          </w:tcPr>
          <w:p w14:paraId="20056376" w14:textId="3A327EF8" w:rsidR="00EB5264" w:rsidRDefault="00EB5264" w:rsidP="00CA2171">
            <w:pPr>
              <w:spacing w:before="120" w:after="120"/>
              <w:ind w:left="16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</w:t>
            </w:r>
          </w:p>
        </w:tc>
        <w:tc>
          <w:tcPr>
            <w:tcW w:w="385" w:type="pct"/>
          </w:tcPr>
          <w:p w14:paraId="09C56EB3" w14:textId="28BE3E0A" w:rsidR="00EB5264" w:rsidRDefault="00EB5264" w:rsidP="00CA2171">
            <w:pPr>
              <w:spacing w:before="120" w:after="120"/>
              <w:contextualSpacing/>
            </w:pPr>
            <w:r>
              <w:t>5 min</w:t>
            </w:r>
          </w:p>
        </w:tc>
        <w:tc>
          <w:tcPr>
            <w:tcW w:w="2725" w:type="pct"/>
            <w:gridSpan w:val="3"/>
          </w:tcPr>
          <w:p w14:paraId="63FBD58A" w14:textId="406655A5" w:rsidR="00EB5264" w:rsidRDefault="00524E7E" w:rsidP="00CA2171">
            <w:pPr>
              <w:ind w:left="166"/>
            </w:pPr>
            <w:r w:rsidRPr="00524E7E">
              <w:t>ISP 1</w:t>
            </w:r>
            <w:r>
              <w:t>9</w:t>
            </w:r>
            <w:r w:rsidRPr="00524E7E">
              <w:t xml:space="preserve">0 </w:t>
            </w:r>
            <w:r>
              <w:t>Academic Honesty – 1</w:t>
            </w:r>
            <w:r w:rsidRPr="00524E7E">
              <w:rPr>
                <w:vertAlign w:val="superscript"/>
              </w:rPr>
              <w:t>st</w:t>
            </w:r>
            <w:r>
              <w:t xml:space="preserve"> Read</w:t>
            </w:r>
          </w:p>
          <w:p w14:paraId="4FB8079C" w14:textId="77777777" w:rsidR="00524E7E" w:rsidRDefault="00524E7E" w:rsidP="00CA2171">
            <w:pPr>
              <w:ind w:left="166"/>
            </w:pPr>
          </w:p>
          <w:p w14:paraId="5EE19B97" w14:textId="3F4F65A9" w:rsidR="00524E7E" w:rsidRPr="00524E7E" w:rsidRDefault="00524E7E" w:rsidP="00CA2171">
            <w:pPr>
              <w:ind w:left="166"/>
            </w:pPr>
          </w:p>
        </w:tc>
      </w:tr>
      <w:tr w:rsidR="00524E7E" w14:paraId="7704A1D6" w14:textId="77777777" w:rsidTr="002F7108">
        <w:trPr>
          <w:trHeight w:val="928"/>
        </w:trPr>
        <w:tc>
          <w:tcPr>
            <w:tcW w:w="1152" w:type="pct"/>
            <w:gridSpan w:val="3"/>
          </w:tcPr>
          <w:p w14:paraId="47C2E022" w14:textId="1F17A9E4" w:rsidR="00524E7E" w:rsidRPr="00BD6647" w:rsidRDefault="00524E7E" w:rsidP="00CA2171">
            <w:pPr>
              <w:ind w:left="161"/>
              <w:rPr>
                <w:b/>
              </w:rPr>
            </w:pPr>
            <w:bookmarkStart w:id="0" w:name="_Hlk85572873"/>
            <w:r>
              <w:rPr>
                <w:b/>
              </w:rPr>
              <w:t>Presidents’ Council Feedback</w:t>
            </w:r>
          </w:p>
        </w:tc>
        <w:tc>
          <w:tcPr>
            <w:tcW w:w="738" w:type="pct"/>
          </w:tcPr>
          <w:p w14:paraId="1A1D478E" w14:textId="3EDD0DA2" w:rsidR="00524E7E" w:rsidRDefault="00524E7E" w:rsidP="00CA2171">
            <w:pPr>
              <w:ind w:left="163"/>
            </w:pPr>
            <w:r>
              <w:t>Sue</w:t>
            </w:r>
          </w:p>
        </w:tc>
        <w:tc>
          <w:tcPr>
            <w:tcW w:w="385" w:type="pct"/>
          </w:tcPr>
          <w:p w14:paraId="704EC5D6" w14:textId="75F59C55" w:rsidR="00524E7E" w:rsidRDefault="00524E7E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190885E0" w14:textId="625E8322" w:rsidR="00524E7E" w:rsidRDefault="00524E7E" w:rsidP="00CA2171">
            <w:pPr>
              <w:ind w:left="166"/>
              <w:rPr>
                <w:color w:val="212121"/>
              </w:rPr>
            </w:pPr>
            <w:r w:rsidRPr="00524E7E">
              <w:rPr>
                <w:color w:val="212121"/>
              </w:rPr>
              <w:t xml:space="preserve">ISP 170 Textbook and Instructional Materials Adoption </w:t>
            </w:r>
          </w:p>
        </w:tc>
      </w:tr>
      <w:bookmarkEnd w:id="0"/>
      <w:tr w:rsidR="00EB5264" w14:paraId="1D546439" w14:textId="77777777" w:rsidTr="002F7108">
        <w:trPr>
          <w:trHeight w:val="1018"/>
        </w:trPr>
        <w:tc>
          <w:tcPr>
            <w:tcW w:w="1152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738" w:type="pct"/>
          </w:tcPr>
          <w:p w14:paraId="055B3FDC" w14:textId="1F9DB76A" w:rsidR="00EB5264" w:rsidRDefault="00EB5264" w:rsidP="00CA2171">
            <w:pPr>
              <w:ind w:left="163"/>
            </w:pPr>
            <w:r>
              <w:t>Chris/Jennifer</w:t>
            </w:r>
          </w:p>
        </w:tc>
        <w:tc>
          <w:tcPr>
            <w:tcW w:w="385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EB5264" w14:paraId="7D104C75" w14:textId="77777777" w:rsidTr="002F7108">
        <w:trPr>
          <w:trHeight w:val="1045"/>
        </w:trPr>
        <w:tc>
          <w:tcPr>
            <w:tcW w:w="1152" w:type="pct"/>
            <w:gridSpan w:val="3"/>
          </w:tcPr>
          <w:p w14:paraId="41C07EE6" w14:textId="23013C9B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New Items</w:t>
            </w:r>
          </w:p>
        </w:tc>
        <w:tc>
          <w:tcPr>
            <w:tcW w:w="738" w:type="pct"/>
          </w:tcPr>
          <w:p w14:paraId="10D11CF1" w14:textId="21297CE3" w:rsidR="00EB5264" w:rsidRPr="00BD6647" w:rsidRDefault="00EB5264" w:rsidP="00CA2171">
            <w:pPr>
              <w:ind w:left="163"/>
            </w:pPr>
            <w:r>
              <w:t>Sue</w:t>
            </w:r>
          </w:p>
        </w:tc>
        <w:tc>
          <w:tcPr>
            <w:tcW w:w="385" w:type="pct"/>
          </w:tcPr>
          <w:p w14:paraId="415005CB" w14:textId="67B0A198" w:rsidR="00EB5264" w:rsidRPr="00BD6647" w:rsidRDefault="00EB5264" w:rsidP="00CA2171">
            <w:r>
              <w:t>10 min</w:t>
            </w:r>
          </w:p>
        </w:tc>
        <w:tc>
          <w:tcPr>
            <w:tcW w:w="2725" w:type="pct"/>
            <w:gridSpan w:val="3"/>
          </w:tcPr>
          <w:p w14:paraId="64AC0930" w14:textId="3EFD12A4" w:rsidR="00EB5264" w:rsidRDefault="00EB5264" w:rsidP="00CA2171">
            <w:pPr>
              <w:ind w:left="168"/>
              <w:rPr>
                <w:color w:val="212121"/>
              </w:rPr>
            </w:pPr>
            <w:r w:rsidRPr="00BD6647">
              <w:rPr>
                <w:color w:val="212121"/>
              </w:rPr>
              <w:t xml:space="preserve">Standards </w:t>
            </w:r>
            <w:r w:rsidR="00CA2171" w:rsidRPr="00BD6647">
              <w:rPr>
                <w:color w:val="212121"/>
              </w:rPr>
              <w:t>to</w:t>
            </w:r>
            <w:r w:rsidRPr="00BD6647">
              <w:rPr>
                <w:color w:val="212121"/>
              </w:rPr>
              <w:t xml:space="preserve"> Be Re</w:t>
            </w:r>
            <w:r>
              <w:rPr>
                <w:color w:val="212121"/>
              </w:rPr>
              <w:t>viewed – Every Five Years</w:t>
            </w:r>
          </w:p>
          <w:p w14:paraId="36E95E70" w14:textId="77777777" w:rsidR="00EB5264" w:rsidRPr="00CA2171" w:rsidRDefault="00EB5264" w:rsidP="00CA2171">
            <w:pPr>
              <w:ind w:left="168"/>
              <w:rPr>
                <w:color w:val="212121"/>
                <w:sz w:val="10"/>
                <w:szCs w:val="10"/>
              </w:rPr>
            </w:pPr>
          </w:p>
          <w:p w14:paraId="7CD7C793" w14:textId="2169BC25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Othe</w:t>
            </w:r>
            <w:r w:rsidR="00CA2171">
              <w:rPr>
                <w:color w:val="212121"/>
              </w:rPr>
              <w:t>r</w:t>
            </w:r>
          </w:p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B77238" w14:paraId="10F6A6A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4FE433A" w14:textId="66774FC8" w:rsidR="00B77238" w:rsidRDefault="00D26A4F" w:rsidP="009C65B8">
            <w:pPr>
              <w:rPr>
                <w:noProof/>
              </w:rPr>
            </w:pPr>
            <w:r>
              <w:rPr>
                <w:noProof/>
              </w:rPr>
              <w:t>Study Away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965C7D6" w14:textId="0DD4A1F1" w:rsidR="00B77238" w:rsidRDefault="00D26A4F" w:rsidP="00AD3B61">
            <w:pPr>
              <w:jc w:val="center"/>
            </w:pPr>
            <w:r>
              <w:t xml:space="preserve">Tory and </w:t>
            </w:r>
            <w:r w:rsidR="00524E7E">
              <w:t>Jen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0B02652" w14:textId="4471829F" w:rsidR="00B77238" w:rsidRDefault="00D26A4F" w:rsidP="00AD3B61">
            <w:r w:rsidRPr="00D26A4F">
              <w:t xml:space="preserve">Tory </w:t>
            </w:r>
            <w:r w:rsidR="00524E7E">
              <w:t xml:space="preserve">and Jen </w:t>
            </w:r>
            <w:r w:rsidRPr="00D26A4F">
              <w:t xml:space="preserve">will </w:t>
            </w:r>
            <w:r w:rsidR="00524E7E">
              <w:t xml:space="preserve">clarify </w:t>
            </w:r>
            <w:r w:rsidRPr="00D26A4F">
              <w:t>language</w:t>
            </w:r>
            <w:r w:rsidR="00524E7E">
              <w:t xml:space="preserve">, use DEI Framework to review, </w:t>
            </w:r>
            <w:r w:rsidRPr="00D26A4F">
              <w:t xml:space="preserve">and bring back for </w:t>
            </w:r>
            <w:r w:rsidR="00524E7E">
              <w:t>discussion</w:t>
            </w:r>
            <w:r w:rsidRPr="00D26A4F">
              <w:t>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0BAFFDE" w14:textId="4FC15ACF" w:rsidR="00B77238" w:rsidRDefault="00D26A4F" w:rsidP="00AD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October </w:t>
            </w:r>
          </w:p>
        </w:tc>
      </w:tr>
      <w:tr w:rsidR="00524E7E" w14:paraId="7CA02B1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22842CB" w14:textId="68C231D8" w:rsidR="00524E7E" w:rsidRPr="00D26A4F" w:rsidRDefault="00524E7E" w:rsidP="009C65B8">
            <w:pPr>
              <w:rPr>
                <w:noProof/>
              </w:rPr>
            </w:pPr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D972882" w14:textId="3DBA9313" w:rsidR="00524E7E" w:rsidRDefault="00524E7E" w:rsidP="00AD3B61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AF9D6FF" w14:textId="75B77239" w:rsidR="00524E7E" w:rsidRDefault="00524E7E" w:rsidP="00AD3B61">
            <w:r>
              <w:t>Review policy and procedure.  College needs technological way to enforce this policy</w:t>
            </w:r>
            <w:r w:rsidR="009B3CE8">
              <w:t xml:space="preserve">.  Delay </w:t>
            </w:r>
            <w:r w:rsidR="00937315">
              <w:t>until winter or spring term.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DB9D153" w14:textId="7798D3DA" w:rsidR="00524E7E" w:rsidRDefault="00524E7E" w:rsidP="00AD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 or Spring Term</w:t>
            </w:r>
          </w:p>
        </w:tc>
      </w:tr>
      <w:tr w:rsidR="002F7108" w14:paraId="51B47AAE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9D6B707" w14:textId="514A9893" w:rsidR="002F7108" w:rsidRPr="00524E7E" w:rsidRDefault="002F7108" w:rsidP="009C65B8">
            <w:pPr>
              <w:rPr>
                <w:noProof/>
              </w:rPr>
            </w:pPr>
            <w:r>
              <w:rPr>
                <w:noProof/>
              </w:rPr>
              <w:t xml:space="preserve">Mid-Year Check </w:t>
            </w:r>
            <w:r w:rsidR="00937315">
              <w:rPr>
                <w:noProof/>
              </w:rPr>
              <w:t>I</w:t>
            </w:r>
            <w:r>
              <w:rPr>
                <w:noProof/>
              </w:rPr>
              <w:t>n on Goals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D387623" w14:textId="6BE0FFFD" w:rsidR="002F7108" w:rsidRDefault="002F7108" w:rsidP="00AD3B61">
            <w:pPr>
              <w:jc w:val="center"/>
            </w:pPr>
            <w:r>
              <w:t>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A18FA74" w14:textId="795F889A" w:rsidR="002F7108" w:rsidRDefault="002F7108" w:rsidP="00AD3B61">
            <w:r>
              <w:t>Revisit goals to see our progress.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B4CF088" w14:textId="7BFFE558" w:rsidR="002F7108" w:rsidRDefault="002F7108" w:rsidP="00AD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Winter Term</w:t>
            </w:r>
          </w:p>
        </w:tc>
      </w:tr>
      <w:tr w:rsidR="00AD3B61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749C77C2" w:rsidR="00AD3B61" w:rsidRPr="00A10502" w:rsidRDefault="00CA217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7F895E48" w14:textId="2FA9F589" w:rsidR="00AD3B61" w:rsidRPr="00417307" w:rsidRDefault="00902628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November 12</w:t>
            </w:r>
          </w:p>
        </w:tc>
        <w:tc>
          <w:tcPr>
            <w:tcW w:w="2789" w:type="dxa"/>
            <w:vAlign w:val="center"/>
          </w:tcPr>
          <w:p w14:paraId="53F2F5D4" w14:textId="1B9F1B30" w:rsidR="00AD3B61" w:rsidRPr="001C14ED" w:rsidRDefault="00992BAA" w:rsidP="00417307">
            <w:pPr>
              <w:jc w:val="center"/>
            </w:pPr>
            <w:proofErr w:type="spellStart"/>
            <w:r>
              <w:t>8</w:t>
            </w:r>
            <w:r w:rsidR="00417307">
              <w:t>:00</w:t>
            </w:r>
            <w:r>
              <w:t>a</w:t>
            </w:r>
            <w:r w:rsidR="00417307">
              <w:t>m</w:t>
            </w:r>
            <w:proofErr w:type="spellEnd"/>
          </w:p>
        </w:tc>
        <w:tc>
          <w:tcPr>
            <w:tcW w:w="2150" w:type="dxa"/>
            <w:vAlign w:val="center"/>
          </w:tcPr>
          <w:p w14:paraId="2ACDA1A8" w14:textId="7D5035DD" w:rsidR="00AD3B61" w:rsidRPr="001C14ED" w:rsidRDefault="00992BAA" w:rsidP="00AD3B61">
            <w:pPr>
              <w:jc w:val="center"/>
            </w:pPr>
            <w:proofErr w:type="spellStart"/>
            <w:r>
              <w:t>9:30a</w:t>
            </w:r>
            <w:r w:rsidR="00417307">
              <w:t>m</w:t>
            </w:r>
            <w:proofErr w:type="spellEnd"/>
          </w:p>
        </w:tc>
        <w:tc>
          <w:tcPr>
            <w:tcW w:w="5408" w:type="dxa"/>
            <w:gridSpan w:val="2"/>
            <w:vAlign w:val="center"/>
          </w:tcPr>
          <w:p w14:paraId="2DBF6321" w14:textId="7BB65B97" w:rsidR="00AD3B61" w:rsidRPr="001C14ED" w:rsidRDefault="00992BAA" w:rsidP="00AD3B61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5EDDD32B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>
              <w:rPr>
                <w:rFonts w:cstheme="minorHAnsi"/>
                <w:color w:val="000000"/>
              </w:rPr>
              <w:t>Jason Kovac, Jen Miller, Melinda Nickas, Tracey Pantano-Rumsey, David Plotkin, Cynthia Risan, April Smith, Chris Sweet, Dru Urbassik, and Cathy Warner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568357FC" w14:textId="633B6A4B" w:rsidR="00921A4E" w:rsidRDefault="00921A4E" w:rsidP="00077261">
      <w:pPr>
        <w:ind w:left="360"/>
      </w:pPr>
      <w:r>
        <w:t>Feb</w:t>
      </w:r>
      <w:r w:rsidR="005554CD">
        <w:t>.</w:t>
      </w:r>
      <w:r>
        <w:t xml:space="preserve"> 19, 2016</w:t>
      </w:r>
      <w:r>
        <w:tab/>
        <w:t xml:space="preserve">ISP 170 Textbook &amp; Instructional Materials Adoption </w:t>
      </w:r>
      <w:r w:rsidR="002257E6">
        <w:t>Standard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5EB3775D" w14:textId="2A864599" w:rsidR="00DF4E85" w:rsidRDefault="00665C2F" w:rsidP="00DF4E85">
      <w:pPr>
        <w:ind w:left="360"/>
      </w:pPr>
      <w:bookmarkStart w:id="1" w:name="_Hlk84493614"/>
      <w:r>
        <w:t>M</w:t>
      </w:r>
      <w:r w:rsidR="005554CD">
        <w:t xml:space="preserve">ay 27, </w:t>
      </w:r>
      <w:r>
        <w:t>20</w:t>
      </w:r>
      <w:r w:rsidR="00DF4E85" w:rsidRPr="00CA45C2">
        <w:t>16</w:t>
      </w:r>
      <w:bookmarkEnd w:id="1"/>
      <w:r w:rsidR="00DF4E85" w:rsidRPr="00CA45C2">
        <w:tab/>
        <w:t>ISP 471 Courses that Can be Repeated for Degree Completion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0BA588A6" w14:textId="3D1991C5" w:rsidR="00DF4E85" w:rsidRDefault="005554CD" w:rsidP="00DF4E85">
      <w:pPr>
        <w:ind w:left="360"/>
      </w:pPr>
      <w:r>
        <w:t>Oct. 14, 2016</w:t>
      </w:r>
      <w:r w:rsidR="00DF4E85">
        <w:tab/>
        <w:t>ISP 391 Credit for Variable Credit Classes (formerly Variable Credit)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2" w:name="_Hlk84493685"/>
      <w:r>
        <w:t>Oct. 14, 2016</w:t>
      </w:r>
      <w:bookmarkEnd w:id="2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  <w:bookmarkStart w:id="3" w:name="_GoBack"/>
      <w:bookmarkEnd w:id="3"/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4" w:name="_Hlk84494252"/>
      <w:r w:rsidRPr="00593A00">
        <w:t>Feb. 14, 2017</w:t>
      </w:r>
      <w:bookmarkEnd w:id="4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3E1C6580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 xml:space="preserve">ISP 374 </w:t>
      </w:r>
      <w:proofErr w:type="spellStart"/>
      <w:r w:rsidR="00FD1FCA">
        <w:t>Dantes</w:t>
      </w:r>
      <w:proofErr w:type="spellEnd"/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E2557C">
      <w:footerReference w:type="default" r:id="rId13"/>
      <w:pgSz w:w="15840" w:h="12240" w:orient="landscape" w:code="1"/>
      <w:pgMar w:top="907" w:right="720" w:bottom="994" w:left="720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D264" w14:textId="77777777" w:rsidR="00A1679C" w:rsidRDefault="00A1679C" w:rsidP="00B3679E">
      <w:r>
        <w:separator/>
      </w:r>
    </w:p>
  </w:endnote>
  <w:endnote w:type="continuationSeparator" w:id="0">
    <w:p w14:paraId="0E9C8F53" w14:textId="77777777" w:rsidR="00A1679C" w:rsidRDefault="00A1679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005C7402" w14:textId="77777777" w:rsidR="00E2557C" w:rsidRPr="00E2557C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411D2774" w:rsidR="00E2557C" w:rsidRPr="00E2557C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October 22, 2021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E2557C">
          <w:rPr>
            <w:rFonts w:cstheme="minorHAnsi"/>
            <w:sz w:val="20"/>
            <w:szCs w:val="20"/>
          </w:rPr>
          <w:t xml:space="preserve">Page </w:t>
        </w:r>
        <w:r w:rsidRPr="00E2557C">
          <w:rPr>
            <w:rFonts w:cstheme="minorHAnsi"/>
            <w:b/>
            <w:bCs/>
            <w:sz w:val="20"/>
            <w:szCs w:val="20"/>
          </w:rPr>
          <w:fldChar w:fldCharType="begin"/>
        </w:r>
        <w:r w:rsidRPr="00E2557C">
          <w:rPr>
            <w:rFonts w:cstheme="minorHAnsi"/>
            <w:b/>
            <w:bCs/>
            <w:sz w:val="20"/>
            <w:szCs w:val="20"/>
          </w:rPr>
          <w:instrText xml:space="preserve"> PAGE </w:instrText>
        </w:r>
        <w:r w:rsidRPr="00E2557C">
          <w:rPr>
            <w:rFonts w:cstheme="minorHAnsi"/>
            <w:b/>
            <w:bCs/>
            <w:sz w:val="20"/>
            <w:szCs w:val="20"/>
          </w:rPr>
          <w:fldChar w:fldCharType="separate"/>
        </w:r>
        <w:r w:rsidR="00A73FC9" w:rsidRPr="00E2557C">
          <w:rPr>
            <w:rFonts w:cstheme="minorHAnsi"/>
            <w:b/>
            <w:bCs/>
            <w:noProof/>
            <w:sz w:val="20"/>
            <w:szCs w:val="20"/>
          </w:rPr>
          <w:t>1</w:t>
        </w:r>
        <w:r w:rsidRPr="00E2557C">
          <w:rPr>
            <w:rFonts w:cstheme="minorHAnsi"/>
            <w:b/>
            <w:bCs/>
            <w:sz w:val="20"/>
            <w:szCs w:val="20"/>
          </w:rPr>
          <w:fldChar w:fldCharType="end"/>
        </w:r>
        <w:r w:rsidRPr="00E2557C">
          <w:rPr>
            <w:rFonts w:cstheme="minorHAnsi"/>
            <w:sz w:val="20"/>
            <w:szCs w:val="20"/>
          </w:rPr>
          <w:t xml:space="preserve"> of </w:t>
        </w:r>
        <w:r w:rsidRPr="00E2557C">
          <w:rPr>
            <w:rFonts w:cstheme="minorHAnsi"/>
            <w:b/>
            <w:bCs/>
            <w:sz w:val="20"/>
            <w:szCs w:val="20"/>
          </w:rPr>
          <w:fldChar w:fldCharType="begin"/>
        </w:r>
        <w:r w:rsidRPr="00E2557C">
          <w:rPr>
            <w:rFonts w:cstheme="minorHAnsi"/>
            <w:b/>
            <w:bCs/>
            <w:sz w:val="20"/>
            <w:szCs w:val="20"/>
          </w:rPr>
          <w:instrText xml:space="preserve"> NUMPAGES  </w:instrText>
        </w:r>
        <w:r w:rsidRPr="00E2557C">
          <w:rPr>
            <w:rFonts w:cstheme="minorHAnsi"/>
            <w:b/>
            <w:bCs/>
            <w:sz w:val="20"/>
            <w:szCs w:val="20"/>
          </w:rPr>
          <w:fldChar w:fldCharType="separate"/>
        </w:r>
        <w:r w:rsidR="00A73FC9" w:rsidRPr="00E2557C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E2557C">
          <w:rPr>
            <w:rFonts w:cstheme="minorHAnsi"/>
            <w:b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CE78" w14:textId="77777777" w:rsidR="00A1679C" w:rsidRDefault="00A1679C" w:rsidP="00B3679E">
      <w:r>
        <w:separator/>
      </w:r>
    </w:p>
  </w:footnote>
  <w:footnote w:type="continuationSeparator" w:id="0">
    <w:p w14:paraId="187BCE07" w14:textId="77777777" w:rsidR="00A1679C" w:rsidRDefault="00A1679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5"/>
  </w:num>
  <w:num w:numId="8">
    <w:abstractNumId w:val="22"/>
  </w:num>
  <w:num w:numId="9">
    <w:abstractNumId w:val="26"/>
  </w:num>
  <w:num w:numId="10">
    <w:abstractNumId w:val="34"/>
  </w:num>
  <w:num w:numId="11">
    <w:abstractNumId w:val="12"/>
  </w:num>
  <w:num w:numId="12">
    <w:abstractNumId w:val="1"/>
  </w:num>
  <w:num w:numId="13">
    <w:abstractNumId w:val="33"/>
  </w:num>
  <w:num w:numId="14">
    <w:abstractNumId w:val="30"/>
  </w:num>
  <w:num w:numId="15">
    <w:abstractNumId w:val="23"/>
  </w:num>
  <w:num w:numId="16">
    <w:abstractNumId w:val="18"/>
  </w:num>
  <w:num w:numId="17">
    <w:abstractNumId w:val="14"/>
  </w:num>
  <w:num w:numId="18">
    <w:abstractNumId w:val="19"/>
  </w:num>
  <w:num w:numId="19">
    <w:abstractNumId w:val="24"/>
  </w:num>
  <w:num w:numId="20">
    <w:abstractNumId w:val="9"/>
  </w:num>
  <w:num w:numId="21">
    <w:abstractNumId w:val="32"/>
  </w:num>
  <w:num w:numId="22">
    <w:abstractNumId w:val="28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5"/>
  </w:num>
  <w:num w:numId="31">
    <w:abstractNumId w:val="11"/>
  </w:num>
  <w:num w:numId="32">
    <w:abstractNumId w:val="27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798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6B7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A6CFF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7C9"/>
    <w:rsid w:val="00270B5F"/>
    <w:rsid w:val="002716C0"/>
    <w:rsid w:val="002731ED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DEF"/>
    <w:rsid w:val="00494C9C"/>
    <w:rsid w:val="00497392"/>
    <w:rsid w:val="004A03DF"/>
    <w:rsid w:val="004A1445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536"/>
    <w:rsid w:val="004D50FE"/>
    <w:rsid w:val="004D5D1A"/>
    <w:rsid w:val="004E405B"/>
    <w:rsid w:val="004E445E"/>
    <w:rsid w:val="004E4D47"/>
    <w:rsid w:val="004E6BF6"/>
    <w:rsid w:val="004E7C95"/>
    <w:rsid w:val="004F3FB9"/>
    <w:rsid w:val="004F64C9"/>
    <w:rsid w:val="004F79B9"/>
    <w:rsid w:val="00501352"/>
    <w:rsid w:val="005016C9"/>
    <w:rsid w:val="0050252A"/>
    <w:rsid w:val="00512F14"/>
    <w:rsid w:val="00513CFB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54CD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BC2"/>
    <w:rsid w:val="007A596F"/>
    <w:rsid w:val="007A7550"/>
    <w:rsid w:val="007B1D06"/>
    <w:rsid w:val="007B4AD9"/>
    <w:rsid w:val="007B4D52"/>
    <w:rsid w:val="007B61A5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20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6ED"/>
    <w:rsid w:val="00921A4E"/>
    <w:rsid w:val="00923291"/>
    <w:rsid w:val="00923E67"/>
    <w:rsid w:val="0092789D"/>
    <w:rsid w:val="009341F9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595D"/>
    <w:rsid w:val="00B560FE"/>
    <w:rsid w:val="00B60555"/>
    <w:rsid w:val="00B629B2"/>
    <w:rsid w:val="00B67BE9"/>
    <w:rsid w:val="00B70128"/>
    <w:rsid w:val="00B73B88"/>
    <w:rsid w:val="00B73DAD"/>
    <w:rsid w:val="00B73F62"/>
    <w:rsid w:val="00B74376"/>
    <w:rsid w:val="00B757C7"/>
    <w:rsid w:val="00B77238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45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0714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4E6"/>
    <w:rsid w:val="00CA45C2"/>
    <w:rsid w:val="00CB25C7"/>
    <w:rsid w:val="00CB43ED"/>
    <w:rsid w:val="00CB4A9C"/>
    <w:rsid w:val="00CB5E1A"/>
    <w:rsid w:val="00CC0013"/>
    <w:rsid w:val="00CC06A2"/>
    <w:rsid w:val="00CC2C70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F49"/>
    <w:rsid w:val="00DD686E"/>
    <w:rsid w:val="00DE0146"/>
    <w:rsid w:val="00DE11D5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D48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2D99-8E09-43BB-937F-3777075C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Beth Hodgkinson</cp:lastModifiedBy>
  <cp:revision>2</cp:revision>
  <cp:lastPrinted>2021-06-03T16:17:00Z</cp:lastPrinted>
  <dcterms:created xsi:type="dcterms:W3CDTF">2021-10-20T20:03:00Z</dcterms:created>
  <dcterms:modified xsi:type="dcterms:W3CDTF">2021-10-20T20:03:00Z</dcterms:modified>
</cp:coreProperties>
</file>